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1793"/>
        <w:tblW w:w="16727" w:type="dxa"/>
        <w:tblLook w:val="04A0"/>
      </w:tblPr>
      <w:tblGrid>
        <w:gridCol w:w="2411"/>
        <w:gridCol w:w="4557"/>
        <w:gridCol w:w="9759"/>
      </w:tblGrid>
      <w:tr w:rsidR="0074719E" w:rsidRPr="006060CA" w:rsidTr="00F6039E">
        <w:tc>
          <w:tcPr>
            <w:tcW w:w="2411" w:type="dxa"/>
          </w:tcPr>
          <w:p w:rsidR="0074719E" w:rsidRPr="006060CA" w:rsidRDefault="0074719E" w:rsidP="00F6039E">
            <w:pPr>
              <w:rPr>
                <w:rFonts w:ascii="Bodoni MT Black" w:hAnsi="Bodoni MT Black"/>
                <w:sz w:val="40"/>
                <w:szCs w:val="40"/>
              </w:rPr>
            </w:pPr>
            <w:r w:rsidRPr="006060CA">
              <w:rPr>
                <w:rFonts w:ascii="Bodoni MT Black" w:hAnsi="Bodoni MT Black"/>
                <w:sz w:val="40"/>
                <w:szCs w:val="40"/>
              </w:rPr>
              <w:t>D</w:t>
            </w:r>
            <w:r w:rsidR="006060CA">
              <w:rPr>
                <w:rFonts w:ascii="Bodoni MT Black" w:hAnsi="Bodoni MT Black"/>
                <w:sz w:val="40"/>
                <w:szCs w:val="40"/>
              </w:rPr>
              <w:t>Í</w:t>
            </w:r>
            <w:r w:rsidRPr="006060CA">
              <w:rPr>
                <w:rFonts w:ascii="Bodoni MT Black" w:hAnsi="Bodoni MT Black"/>
                <w:sz w:val="40"/>
                <w:szCs w:val="40"/>
              </w:rPr>
              <w:t>A</w:t>
            </w:r>
          </w:p>
        </w:tc>
        <w:tc>
          <w:tcPr>
            <w:tcW w:w="4557" w:type="dxa"/>
          </w:tcPr>
          <w:p w:rsidR="0074719E" w:rsidRPr="006060CA" w:rsidRDefault="0074719E" w:rsidP="00F6039E">
            <w:pPr>
              <w:rPr>
                <w:rFonts w:ascii="Bodoni MT Black" w:hAnsi="Bodoni MT Black"/>
                <w:sz w:val="40"/>
                <w:szCs w:val="40"/>
              </w:rPr>
            </w:pPr>
            <w:r w:rsidRPr="006060CA">
              <w:rPr>
                <w:rFonts w:ascii="Bodoni MT Black" w:hAnsi="Bodoni MT Black"/>
                <w:sz w:val="40"/>
                <w:szCs w:val="40"/>
              </w:rPr>
              <w:t>MOTIVO</w:t>
            </w:r>
          </w:p>
        </w:tc>
        <w:tc>
          <w:tcPr>
            <w:tcW w:w="9759" w:type="dxa"/>
          </w:tcPr>
          <w:p w:rsidR="0074719E" w:rsidRPr="006060CA" w:rsidRDefault="0074719E" w:rsidP="00F6039E">
            <w:pPr>
              <w:rPr>
                <w:rFonts w:ascii="Bodoni MT Black" w:hAnsi="Bodoni MT Black"/>
                <w:sz w:val="40"/>
                <w:szCs w:val="40"/>
              </w:rPr>
            </w:pPr>
            <w:r w:rsidRPr="006060CA">
              <w:rPr>
                <w:rFonts w:ascii="Bodoni MT Black" w:hAnsi="Bodoni MT Black"/>
                <w:sz w:val="40"/>
                <w:szCs w:val="40"/>
              </w:rPr>
              <w:t>OBJETIVO</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Mes de Marzo</w:t>
            </w:r>
          </w:p>
        </w:tc>
        <w:tc>
          <w:tcPr>
            <w:tcW w:w="4557" w:type="dxa"/>
          </w:tcPr>
          <w:p w:rsidR="0074719E" w:rsidRPr="006060CA" w:rsidRDefault="0074719E" w:rsidP="00F6039E">
            <w:pPr>
              <w:rPr>
                <w:rFonts w:ascii="dinLight" w:hAnsi="dinLight"/>
                <w:color w:val="666666"/>
                <w:sz w:val="32"/>
                <w:szCs w:val="32"/>
                <w:shd w:val="clear" w:color="auto" w:fill="F7F7F7"/>
              </w:rPr>
            </w:pPr>
            <w:r w:rsidRPr="006060CA">
              <w:rPr>
                <w:rFonts w:ascii="dinLight" w:hAnsi="dinLight"/>
                <w:color w:val="666666"/>
                <w:sz w:val="32"/>
                <w:szCs w:val="32"/>
                <w:shd w:val="clear" w:color="auto" w:fill="F7F7F7"/>
              </w:rPr>
              <w:t xml:space="preserve">Mes de la Educación, Seguridad y de la Humanización en el Tránsito y Día de la Conciencia ciudadana y respeto al prójimo en el tránsito </w:t>
            </w:r>
          </w:p>
          <w:p w:rsidR="0074719E" w:rsidRPr="006060CA" w:rsidRDefault="0074719E" w:rsidP="00F6039E">
            <w:pPr>
              <w:rPr>
                <w:sz w:val="32"/>
                <w:szCs w:val="32"/>
              </w:rPr>
            </w:pPr>
            <w:r w:rsidRPr="006060CA">
              <w:rPr>
                <w:rFonts w:ascii="dinLight" w:hAnsi="dinLight"/>
                <w:color w:val="666666"/>
                <w:sz w:val="32"/>
                <w:szCs w:val="32"/>
                <w:shd w:val="clear" w:color="auto" w:fill="F7F7F7"/>
              </w:rPr>
              <w:t xml:space="preserve">(5-3) (Ley </w:t>
            </w:r>
            <w:proofErr w:type="spellStart"/>
            <w:r w:rsidRPr="006060CA">
              <w:rPr>
                <w:rFonts w:ascii="dinLight" w:hAnsi="dinLight"/>
                <w:color w:val="666666"/>
                <w:sz w:val="32"/>
                <w:szCs w:val="32"/>
                <w:shd w:val="clear" w:color="auto" w:fill="F7F7F7"/>
              </w:rPr>
              <w:t>Prov</w:t>
            </w:r>
            <w:proofErr w:type="spellEnd"/>
            <w:r w:rsidRPr="006060CA">
              <w:rPr>
                <w:rFonts w:ascii="dinLight" w:hAnsi="dinLight"/>
                <w:color w:val="666666"/>
                <w:sz w:val="32"/>
                <w:szCs w:val="32"/>
                <w:shd w:val="clear" w:color="auto" w:fill="F7F7F7"/>
              </w:rPr>
              <w:t xml:space="preserve"> Nº 13193)</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Desarrollar una intensa campaña de comunicación sobre esta temática y promover la coordinación e integración de acciones orientadas al mismo fin con los otros Poderes del Estado Provincial y con las organizaciones no gubernamentales vinculadas con esta problemática; a los efectos de generar una conciencia ciudadana y respeto al prójimo en el tránsito.</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6 Miércoles al 8 Viernes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Semana del fortalecimiento del clima escolar</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Concientizar a toda la comunidad educativa acerca de la importancia de promover buenos vínculos y relaciones interpersonales que propicien el fortalecimiento de un buen clima escolar como favorecedor del proceso de enseñanza y aprendizaje</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8 Viernes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Día Internacional de la Mujer (Res. D.G.C. y E. 465/07) (08-3)</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Sensibilizar a la comunidad educativa acerca de las desigualdades que por razones de género todavía existen en la sociedad para poder avanzar en el acceso a la igualdad de oportunidades y de trato entre mujeres y varones desde los inicios de la vida en sociedad</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12 Martes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Día del Escudo Nacional(</w:t>
            </w:r>
            <w:proofErr w:type="spellStart"/>
            <w:r w:rsidRPr="006060CA">
              <w:rPr>
                <w:rFonts w:ascii="dinLight" w:hAnsi="dinLight"/>
                <w:color w:val="666666"/>
                <w:sz w:val="32"/>
                <w:szCs w:val="32"/>
                <w:shd w:val="clear" w:color="auto" w:fill="F7F7F7"/>
              </w:rPr>
              <w:t>Dec</w:t>
            </w:r>
            <w:proofErr w:type="spellEnd"/>
            <w:r w:rsidRPr="006060CA">
              <w:rPr>
                <w:rFonts w:ascii="dinLight" w:hAnsi="dinLight"/>
                <w:color w:val="666666"/>
                <w:sz w:val="32"/>
                <w:szCs w:val="32"/>
                <w:shd w:val="clear" w:color="auto" w:fill="F7F7F7"/>
              </w:rPr>
              <w:t xml:space="preserve"> PEN N° 10.032/944)(12-3)</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Fortalecer la identidad a través de los símbolos nacionales, su historia y significados.</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15 Viernes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Día de los Derechos de los Usuarios y Consumidores (Ley Prov. Nº 13105)(15-3)</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Promover en los alumnos los derechos y obligaciones de los usuarios y consumidores</w:t>
            </w:r>
          </w:p>
        </w:tc>
      </w:tr>
      <w:tr w:rsidR="0074719E" w:rsidRPr="006060CA" w:rsidTr="00F6039E">
        <w:tc>
          <w:tcPr>
            <w:tcW w:w="2411" w:type="dxa"/>
          </w:tcPr>
          <w:p w:rsidR="0074719E" w:rsidRPr="0074719E" w:rsidRDefault="0074719E" w:rsidP="00F6039E">
            <w:pPr>
              <w:rPr>
                <w:rFonts w:ascii="Times New Roman" w:eastAsia="Times New Roman" w:hAnsi="Times New Roman" w:cs="Times New Roman"/>
                <w:sz w:val="32"/>
                <w:szCs w:val="32"/>
                <w:lang w:eastAsia="es-ES"/>
              </w:rPr>
            </w:pPr>
            <w:r w:rsidRPr="0074719E">
              <w:rPr>
                <w:rFonts w:ascii="dinLight" w:eastAsia="Times New Roman" w:hAnsi="dinLight" w:cs="Times New Roman"/>
                <w:color w:val="666666"/>
                <w:sz w:val="32"/>
                <w:szCs w:val="32"/>
                <w:shd w:val="clear" w:color="auto" w:fill="F7F7F7"/>
                <w:lang w:eastAsia="es-ES"/>
              </w:rPr>
              <w:t>18</w:t>
            </w:r>
            <w:r w:rsidRPr="0074719E">
              <w:rPr>
                <w:rFonts w:ascii="dinLight" w:eastAsia="Times New Roman" w:hAnsi="dinLight" w:cs="Times New Roman"/>
                <w:color w:val="666666"/>
                <w:sz w:val="32"/>
                <w:szCs w:val="32"/>
                <w:lang w:eastAsia="es-ES"/>
              </w:rPr>
              <w:br/>
            </w:r>
            <w:r w:rsidRPr="0074719E">
              <w:rPr>
                <w:rFonts w:ascii="dinLight" w:eastAsia="Times New Roman" w:hAnsi="dinLight" w:cs="Times New Roman"/>
                <w:color w:val="666666"/>
                <w:sz w:val="32"/>
                <w:szCs w:val="32"/>
                <w:shd w:val="clear" w:color="auto" w:fill="F7F7F7"/>
                <w:lang w:eastAsia="es-ES"/>
              </w:rPr>
              <w:t>Lunes al</w:t>
            </w:r>
            <w:r w:rsidRPr="0074719E">
              <w:rPr>
                <w:rFonts w:ascii="dinLight" w:eastAsia="Times New Roman" w:hAnsi="dinLight" w:cs="Times New Roman"/>
                <w:color w:val="666666"/>
                <w:sz w:val="32"/>
                <w:szCs w:val="32"/>
                <w:lang w:eastAsia="es-ES"/>
              </w:rPr>
              <w:br/>
            </w:r>
            <w:r w:rsidRPr="0074719E">
              <w:rPr>
                <w:rFonts w:ascii="dinLight" w:eastAsia="Times New Roman" w:hAnsi="dinLight" w:cs="Times New Roman"/>
                <w:color w:val="666666"/>
                <w:sz w:val="32"/>
                <w:szCs w:val="32"/>
                <w:shd w:val="clear" w:color="auto" w:fill="F7F7F7"/>
                <w:lang w:eastAsia="es-ES"/>
              </w:rPr>
              <w:lastRenderedPageBreak/>
              <w:t>22</w:t>
            </w:r>
          </w:p>
          <w:p w:rsidR="0074719E" w:rsidRPr="006060CA" w:rsidRDefault="0074719E" w:rsidP="00F6039E">
            <w:pPr>
              <w:rPr>
                <w:sz w:val="32"/>
                <w:szCs w:val="32"/>
              </w:rPr>
            </w:pPr>
            <w:r w:rsidRPr="006060CA">
              <w:rPr>
                <w:rFonts w:ascii="dinLight" w:eastAsia="Times New Roman" w:hAnsi="dinLight" w:cs="Times New Roman"/>
                <w:color w:val="666666"/>
                <w:sz w:val="32"/>
                <w:szCs w:val="32"/>
                <w:shd w:val="clear" w:color="auto" w:fill="F7F7F7"/>
                <w:lang w:eastAsia="es-ES"/>
              </w:rPr>
              <w:t>Viernes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lastRenderedPageBreak/>
              <w:t xml:space="preserve">Semana de reflexión en relación al Golpe de Estado perpetrado el </w:t>
            </w:r>
            <w:r w:rsidRPr="006060CA">
              <w:rPr>
                <w:rFonts w:ascii="dinLight" w:hAnsi="dinLight"/>
                <w:color w:val="666666"/>
                <w:sz w:val="32"/>
                <w:szCs w:val="32"/>
                <w:shd w:val="clear" w:color="auto" w:fill="F7F7F7"/>
              </w:rPr>
              <w:lastRenderedPageBreak/>
              <w:t>24 de marzo de 1976 y las características del régimen que el mismo impuso. (Ley Prov. N° 11782)</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lastRenderedPageBreak/>
              <w:t xml:space="preserve">Afianzar en la juventud la cultura de la democracia, la libertad y el respeto por la dignidad de sus semejantes. Condenar toda usurpación de los </w:t>
            </w:r>
            <w:r w:rsidRPr="006060CA">
              <w:rPr>
                <w:rFonts w:ascii="dinLight" w:hAnsi="dinLight"/>
                <w:color w:val="666666"/>
                <w:sz w:val="32"/>
                <w:szCs w:val="32"/>
                <w:shd w:val="clear" w:color="auto" w:fill="F7F7F7"/>
              </w:rPr>
              <w:lastRenderedPageBreak/>
              <w:t>poderes surgidos legítimamente por imperio de la Constitución, poniendo el acento en un conocimiento profundo de lo prescripto el artículo 3º de la Constitución de la Provincia de Buenos Aires (Reforma de 1994). Divulgar las características que tuvo el régimen político vigente desde esa fecha hasta la recuperación de la democracia en diciembre de 1983. Denunciar la comisión sistemática de los delitos aberrantes, tales como el asesinato, la desaparición de personas, las detenciones ilegales y las torturas, constitutivas todas ellas de la práctica del terrorismo de estado. Renovar, junto a la memoria de lo ocurrido, el compromiso irrenunciable de evitar la repetición de acontecimientos similares en nuestro país. Afianzar la valoración de los organismos defensores de los derechos humanos.</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lastRenderedPageBreak/>
              <w:t>21 Jueves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Día Mundial de la Poesía (Ley Prov. Nº 12489) Designado por la conferencia general de la U.N.E.S.C.O. en su 30° reunión (21-3)</w:t>
            </w:r>
          </w:p>
        </w:tc>
        <w:tc>
          <w:tcPr>
            <w:tcW w:w="9759"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Estimular y revalorizar en los educandos la Poesía como el Arte de evocar y sugerir emociones, sensaciones e ideas a través de un empleo particular del lenguaje, sujeto a medida, cadencia, ritmos e imágenes, reconociéndole su papel social de comunicación intersubjetiva.</w:t>
            </w:r>
          </w:p>
        </w:tc>
      </w:tr>
      <w:tr w:rsidR="0074719E" w:rsidRPr="006060CA" w:rsidTr="00F6039E">
        <w:tc>
          <w:tcPr>
            <w:tcW w:w="2411"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22 Viernes</w:t>
            </w:r>
          </w:p>
        </w:tc>
        <w:tc>
          <w:tcPr>
            <w:tcW w:w="4557" w:type="dxa"/>
          </w:tcPr>
          <w:p w:rsidR="0074719E" w:rsidRPr="006060CA" w:rsidRDefault="0074719E" w:rsidP="00F6039E">
            <w:pPr>
              <w:rPr>
                <w:sz w:val="32"/>
                <w:szCs w:val="32"/>
              </w:rPr>
            </w:pPr>
            <w:r w:rsidRPr="006060CA">
              <w:rPr>
                <w:rFonts w:ascii="dinLight" w:hAnsi="dinLight"/>
                <w:color w:val="666666"/>
                <w:sz w:val="32"/>
                <w:szCs w:val="32"/>
                <w:shd w:val="clear" w:color="auto" w:fill="F7F7F7"/>
              </w:rPr>
              <w:t>Día Mundial del Agua (22-3)</w:t>
            </w:r>
          </w:p>
        </w:tc>
        <w:tc>
          <w:tcPr>
            <w:tcW w:w="9759" w:type="dxa"/>
          </w:tcPr>
          <w:p w:rsidR="0074719E" w:rsidRPr="006060CA" w:rsidRDefault="00607C47" w:rsidP="00F6039E">
            <w:pPr>
              <w:rPr>
                <w:sz w:val="32"/>
                <w:szCs w:val="32"/>
              </w:rPr>
            </w:pPr>
            <w:r w:rsidRPr="006060CA">
              <w:rPr>
                <w:rFonts w:ascii="dinLight" w:hAnsi="dinLight"/>
                <w:color w:val="666666"/>
                <w:sz w:val="32"/>
                <w:szCs w:val="32"/>
                <w:shd w:val="clear" w:color="auto" w:fill="F7F7F7"/>
              </w:rPr>
              <w:t>Tomar conciencia sobre la importancia del agua como fuente de vida; difundir los recursos naturales, su valor, en un mundo que avanza hacia la contaminación del planeta.</w:t>
            </w:r>
          </w:p>
        </w:tc>
      </w:tr>
      <w:tr w:rsidR="0074719E" w:rsidRPr="006060CA" w:rsidTr="00F6039E">
        <w:tc>
          <w:tcPr>
            <w:tcW w:w="2411" w:type="dxa"/>
          </w:tcPr>
          <w:p w:rsidR="0074719E" w:rsidRPr="006060CA" w:rsidRDefault="00607C47" w:rsidP="00F6039E">
            <w:pPr>
              <w:rPr>
                <w:sz w:val="32"/>
                <w:szCs w:val="32"/>
              </w:rPr>
            </w:pPr>
            <w:r w:rsidRPr="006060CA">
              <w:rPr>
                <w:rFonts w:ascii="dinLight" w:hAnsi="dinLight"/>
                <w:color w:val="666666"/>
                <w:sz w:val="32"/>
                <w:szCs w:val="32"/>
                <w:shd w:val="clear" w:color="auto" w:fill="F7F7F7"/>
              </w:rPr>
              <w:t>22 Viernes</w:t>
            </w:r>
          </w:p>
        </w:tc>
        <w:tc>
          <w:tcPr>
            <w:tcW w:w="4557" w:type="dxa"/>
          </w:tcPr>
          <w:p w:rsidR="0074719E" w:rsidRPr="006060CA" w:rsidRDefault="00607C47" w:rsidP="00F6039E">
            <w:pPr>
              <w:rPr>
                <w:sz w:val="32"/>
                <w:szCs w:val="32"/>
              </w:rPr>
            </w:pPr>
            <w:r w:rsidRPr="006060CA">
              <w:rPr>
                <w:rFonts w:ascii="dinLight" w:hAnsi="dinLight"/>
                <w:color w:val="666666"/>
                <w:sz w:val="32"/>
                <w:szCs w:val="32"/>
                <w:shd w:val="clear" w:color="auto" w:fill="F7F7F7"/>
              </w:rPr>
              <w:t xml:space="preserve">Día Nacional de la Memoria por la Verdad y la Justicia (Ley </w:t>
            </w:r>
            <w:proofErr w:type="spellStart"/>
            <w:r w:rsidRPr="006060CA">
              <w:rPr>
                <w:rFonts w:ascii="dinLight" w:hAnsi="dinLight"/>
                <w:color w:val="666666"/>
                <w:sz w:val="32"/>
                <w:szCs w:val="32"/>
                <w:shd w:val="clear" w:color="auto" w:fill="F7F7F7"/>
              </w:rPr>
              <w:t>Nac</w:t>
            </w:r>
            <w:proofErr w:type="spellEnd"/>
            <w:r w:rsidRPr="006060CA">
              <w:rPr>
                <w:rFonts w:ascii="dinLight" w:hAnsi="dinLight"/>
                <w:color w:val="666666"/>
                <w:sz w:val="32"/>
                <w:szCs w:val="32"/>
                <w:shd w:val="clear" w:color="auto" w:fill="F7F7F7"/>
              </w:rPr>
              <w:t>. Nº 25633) (24-3)</w:t>
            </w:r>
          </w:p>
        </w:tc>
        <w:tc>
          <w:tcPr>
            <w:tcW w:w="9759" w:type="dxa"/>
          </w:tcPr>
          <w:p w:rsidR="0074719E" w:rsidRPr="006060CA" w:rsidRDefault="00607C47" w:rsidP="00F6039E">
            <w:pPr>
              <w:rPr>
                <w:sz w:val="32"/>
                <w:szCs w:val="32"/>
              </w:rPr>
            </w:pPr>
            <w:r w:rsidRPr="006060CA">
              <w:rPr>
                <w:rFonts w:ascii="dinLight" w:hAnsi="dinLight"/>
                <w:color w:val="666666"/>
                <w:sz w:val="32"/>
                <w:szCs w:val="32"/>
                <w:shd w:val="clear" w:color="auto" w:fill="F7F7F7"/>
              </w:rPr>
              <w:t>Consolidar la memoria colectiva de la sociedad, generar sentimientos opuestos a todo tipo de autoritarismo y auspiciar la defensa permanente del Estado de Derecho y la plena vigencia de los Derechos Humanos. Los distintos niveles y modalidades de la Educación adaptarán las mismas a las características de sus alumnos.</w:t>
            </w:r>
          </w:p>
        </w:tc>
      </w:tr>
      <w:tr w:rsidR="00607C47" w:rsidRPr="006060CA" w:rsidTr="00F6039E">
        <w:tc>
          <w:tcPr>
            <w:tcW w:w="2411" w:type="dxa"/>
          </w:tcPr>
          <w:p w:rsidR="00607C47" w:rsidRPr="006060CA" w:rsidRDefault="00607C47" w:rsidP="00F6039E">
            <w:pPr>
              <w:rPr>
                <w:sz w:val="32"/>
                <w:szCs w:val="32"/>
              </w:rPr>
            </w:pPr>
            <w:r w:rsidRPr="006060CA">
              <w:rPr>
                <w:rFonts w:ascii="dinLight" w:hAnsi="dinLight"/>
                <w:color w:val="666666"/>
                <w:sz w:val="32"/>
                <w:szCs w:val="32"/>
              </w:rPr>
              <w:t>24 Domingo</w:t>
            </w:r>
          </w:p>
        </w:tc>
        <w:tc>
          <w:tcPr>
            <w:tcW w:w="4557" w:type="dxa"/>
          </w:tcPr>
          <w:p w:rsidR="00607C47" w:rsidRPr="006060CA" w:rsidRDefault="00607C47" w:rsidP="00F6039E">
            <w:pPr>
              <w:rPr>
                <w:sz w:val="32"/>
                <w:szCs w:val="32"/>
              </w:rPr>
            </w:pPr>
            <w:r w:rsidRPr="006060CA">
              <w:rPr>
                <w:rFonts w:ascii="dinLight" w:hAnsi="dinLight"/>
                <w:color w:val="666666"/>
                <w:sz w:val="32"/>
                <w:szCs w:val="32"/>
              </w:rPr>
              <w:t xml:space="preserve">Día Nacional de la Memoria por la Verdad y la Justicia (Leyes </w:t>
            </w:r>
            <w:proofErr w:type="spellStart"/>
            <w:r w:rsidRPr="006060CA">
              <w:rPr>
                <w:rFonts w:ascii="dinLight" w:hAnsi="dinLight"/>
                <w:color w:val="666666"/>
                <w:sz w:val="32"/>
                <w:szCs w:val="32"/>
              </w:rPr>
              <w:t>Nac</w:t>
            </w:r>
            <w:proofErr w:type="spellEnd"/>
            <w:r w:rsidRPr="006060CA">
              <w:rPr>
                <w:rFonts w:ascii="dinLight" w:hAnsi="dinLight"/>
                <w:color w:val="666666"/>
                <w:sz w:val="32"/>
                <w:szCs w:val="32"/>
              </w:rPr>
              <w:t>. Nº 25633 y 26085) (24-3)</w:t>
            </w:r>
          </w:p>
        </w:tc>
        <w:tc>
          <w:tcPr>
            <w:tcW w:w="9759" w:type="dxa"/>
          </w:tcPr>
          <w:p w:rsidR="00607C47" w:rsidRPr="006060CA" w:rsidRDefault="00607C47" w:rsidP="00F6039E">
            <w:pPr>
              <w:rPr>
                <w:sz w:val="32"/>
                <w:szCs w:val="32"/>
              </w:rPr>
            </w:pPr>
          </w:p>
        </w:tc>
      </w:tr>
      <w:tr w:rsidR="00607C47" w:rsidRPr="006060CA" w:rsidTr="00F6039E">
        <w:tc>
          <w:tcPr>
            <w:tcW w:w="2411"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26 Martes</w:t>
            </w:r>
          </w:p>
        </w:tc>
        <w:tc>
          <w:tcPr>
            <w:tcW w:w="4557"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Día del Mercosur Tratado de Asunción -1991- Ley N° 25783 (26-3)</w:t>
            </w:r>
          </w:p>
        </w:tc>
        <w:tc>
          <w:tcPr>
            <w:tcW w:w="9759"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Resaltar la fecha del acuerdo internacional por el que se establecieron plazos, mecanismos e instrumentos tendientes a la creación del MERCOSUR.</w:t>
            </w:r>
          </w:p>
        </w:tc>
      </w:tr>
      <w:tr w:rsidR="00607C47" w:rsidRPr="006060CA" w:rsidTr="00F6039E">
        <w:tc>
          <w:tcPr>
            <w:tcW w:w="2411"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27 Miércoles</w:t>
            </w:r>
          </w:p>
        </w:tc>
        <w:tc>
          <w:tcPr>
            <w:tcW w:w="4557"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 xml:space="preserve">Día Mundial del Teatro (Ley </w:t>
            </w:r>
            <w:proofErr w:type="spellStart"/>
            <w:r w:rsidRPr="006060CA">
              <w:rPr>
                <w:rFonts w:ascii="dinLight" w:hAnsi="dinLight"/>
                <w:color w:val="666666"/>
                <w:sz w:val="32"/>
                <w:szCs w:val="32"/>
                <w:shd w:val="clear" w:color="auto" w:fill="F7F7F7"/>
              </w:rPr>
              <w:t>Prov</w:t>
            </w:r>
            <w:proofErr w:type="spellEnd"/>
            <w:r w:rsidRPr="006060CA">
              <w:rPr>
                <w:rFonts w:ascii="dinLight" w:hAnsi="dinLight"/>
                <w:color w:val="666666"/>
                <w:sz w:val="32"/>
                <w:szCs w:val="32"/>
                <w:shd w:val="clear" w:color="auto" w:fill="F7F7F7"/>
              </w:rPr>
              <w:t xml:space="preserve"> Nº 13194)(27-3)</w:t>
            </w:r>
          </w:p>
        </w:tc>
        <w:tc>
          <w:tcPr>
            <w:tcW w:w="9759"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Promover actividades educativas a efectos de jerarquizar esta expresión cultural.</w:t>
            </w:r>
          </w:p>
        </w:tc>
      </w:tr>
      <w:tr w:rsidR="00607C47" w:rsidRPr="006060CA" w:rsidTr="00F6039E">
        <w:tc>
          <w:tcPr>
            <w:tcW w:w="2411"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29 Viernes</w:t>
            </w:r>
          </w:p>
        </w:tc>
        <w:tc>
          <w:tcPr>
            <w:tcW w:w="4557"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Día en Homenaje a las víctimas de la tragedia de Cromañón (Decreto Nº 391/05) (30/3)</w:t>
            </w:r>
          </w:p>
        </w:tc>
        <w:tc>
          <w:tcPr>
            <w:tcW w:w="9759" w:type="dxa"/>
          </w:tcPr>
          <w:p w:rsidR="00607C47" w:rsidRPr="006060CA" w:rsidRDefault="00607C47" w:rsidP="00F6039E">
            <w:pPr>
              <w:rPr>
                <w:sz w:val="32"/>
                <w:szCs w:val="32"/>
              </w:rPr>
            </w:pPr>
            <w:r w:rsidRPr="006060CA">
              <w:rPr>
                <w:rFonts w:ascii="dinLight" w:hAnsi="dinLight"/>
                <w:color w:val="666666"/>
                <w:sz w:val="32"/>
                <w:szCs w:val="32"/>
                <w:shd w:val="clear" w:color="auto" w:fill="F7F7F7"/>
              </w:rPr>
              <w:t>Recordar estos hechos para que permanezcan en la memoria de la sociedad en su conjunto, procurando evitar que vuelvan a repetirse</w:t>
            </w:r>
          </w:p>
        </w:tc>
      </w:tr>
    </w:tbl>
    <w:p w:rsidR="00C2247F" w:rsidRPr="006060CA" w:rsidRDefault="00C2247F">
      <w:pPr>
        <w:rPr>
          <w:sz w:val="32"/>
          <w:szCs w:val="32"/>
        </w:rPr>
      </w:pPr>
    </w:p>
    <w:p w:rsidR="006060CA" w:rsidRPr="006060CA" w:rsidRDefault="006060CA">
      <w:pPr>
        <w:rPr>
          <w:sz w:val="32"/>
          <w:szCs w:val="32"/>
        </w:rPr>
      </w:pPr>
    </w:p>
    <w:sectPr w:rsidR="006060CA" w:rsidRPr="006060CA" w:rsidSect="00F6039E">
      <w:headerReference w:type="default" r:id="rId6"/>
      <w:pgSz w:w="16838" w:h="11906" w:orient="landscape"/>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2F" w:rsidRDefault="00EF6C2F" w:rsidP="00607C47">
      <w:pPr>
        <w:spacing w:after="0" w:line="240" w:lineRule="auto"/>
      </w:pPr>
      <w:r>
        <w:separator/>
      </w:r>
    </w:p>
  </w:endnote>
  <w:endnote w:type="continuationSeparator" w:id="0">
    <w:p w:rsidR="00EF6C2F" w:rsidRDefault="00EF6C2F" w:rsidP="0060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din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2F" w:rsidRDefault="00EF6C2F" w:rsidP="00607C47">
      <w:pPr>
        <w:spacing w:after="0" w:line="240" w:lineRule="auto"/>
      </w:pPr>
      <w:r>
        <w:separator/>
      </w:r>
    </w:p>
  </w:footnote>
  <w:footnote w:type="continuationSeparator" w:id="0">
    <w:p w:rsidR="00EF6C2F" w:rsidRDefault="00EF6C2F" w:rsidP="00607C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CA" w:rsidRDefault="006060CA" w:rsidP="006060CA">
    <w:pPr>
      <w:pStyle w:val="Ttulo"/>
      <w:rPr>
        <w:lang w:val="es-AR" w:eastAsia="es-ES"/>
      </w:rPr>
    </w:pPr>
    <w:r>
      <w:rPr>
        <w:lang w:val="es-AR" w:eastAsia="es-ES"/>
      </w:rPr>
      <w:t>CALENDARIO ESCOLAR 2019</w:t>
    </w:r>
  </w:p>
  <w:p w:rsidR="006060CA" w:rsidRPr="006060CA" w:rsidRDefault="006060CA" w:rsidP="006060CA">
    <w:pPr>
      <w:pStyle w:val="Ttulo"/>
      <w:rPr>
        <w:lang w:val="es-AR" w:eastAsia="es-ES"/>
      </w:rPr>
    </w:pPr>
    <w:r>
      <w:rPr>
        <w:lang w:val="es-AR" w:eastAsia="es-ES"/>
      </w:rPr>
      <w:t>MARZO</w:t>
    </w:r>
  </w:p>
  <w:p w:rsidR="006060CA" w:rsidRDefault="006060CA" w:rsidP="006060CA">
    <w:pPr>
      <w:pStyle w:val="Subttulo"/>
      <w:rPr>
        <w:lang w:val="es-AR" w:eastAsia="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74719E"/>
    <w:rsid w:val="00023443"/>
    <w:rsid w:val="004B48C7"/>
    <w:rsid w:val="006060CA"/>
    <w:rsid w:val="00607C47"/>
    <w:rsid w:val="0074719E"/>
    <w:rsid w:val="00854D25"/>
    <w:rsid w:val="009E45C6"/>
    <w:rsid w:val="00C2247F"/>
    <w:rsid w:val="00EF6C2F"/>
    <w:rsid w:val="00F603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43"/>
  </w:style>
  <w:style w:type="paragraph" w:styleId="Ttulo2">
    <w:name w:val="heading 2"/>
    <w:basedOn w:val="Normal"/>
    <w:next w:val="Normal"/>
    <w:link w:val="Ttulo2Car"/>
    <w:uiPriority w:val="9"/>
    <w:unhideWhenUsed/>
    <w:qFormat/>
    <w:rsid w:val="00606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07C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C47"/>
  </w:style>
  <w:style w:type="paragraph" w:styleId="Piedepgina">
    <w:name w:val="footer"/>
    <w:basedOn w:val="Normal"/>
    <w:link w:val="PiedepginaCar"/>
    <w:uiPriority w:val="99"/>
    <w:semiHidden/>
    <w:unhideWhenUsed/>
    <w:rsid w:val="00607C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07C47"/>
  </w:style>
  <w:style w:type="paragraph" w:styleId="NormalWeb">
    <w:name w:val="Normal (Web)"/>
    <w:basedOn w:val="Normal"/>
    <w:uiPriority w:val="99"/>
    <w:semiHidden/>
    <w:unhideWhenUsed/>
    <w:rsid w:val="00607C4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60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0CA"/>
    <w:rPr>
      <w:rFonts w:ascii="Tahoma" w:hAnsi="Tahoma" w:cs="Tahoma"/>
      <w:sz w:val="16"/>
      <w:szCs w:val="16"/>
    </w:rPr>
  </w:style>
  <w:style w:type="paragraph" w:styleId="Ttulo">
    <w:name w:val="Title"/>
    <w:basedOn w:val="Normal"/>
    <w:next w:val="Normal"/>
    <w:link w:val="TtuloCar"/>
    <w:uiPriority w:val="10"/>
    <w:qFormat/>
    <w:rsid w:val="00606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60C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60CA"/>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ar"/>
    <w:uiPriority w:val="11"/>
    <w:qFormat/>
    <w:rsid w:val="006060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060C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3225410">
      <w:bodyDiv w:val="1"/>
      <w:marLeft w:val="0"/>
      <w:marRight w:val="0"/>
      <w:marTop w:val="0"/>
      <w:marBottom w:val="0"/>
      <w:divBdr>
        <w:top w:val="none" w:sz="0" w:space="0" w:color="auto"/>
        <w:left w:val="none" w:sz="0" w:space="0" w:color="auto"/>
        <w:bottom w:val="none" w:sz="0" w:space="0" w:color="auto"/>
        <w:right w:val="none" w:sz="0" w:space="0" w:color="auto"/>
      </w:divBdr>
    </w:div>
    <w:div w:id="308479685">
      <w:bodyDiv w:val="1"/>
      <w:marLeft w:val="0"/>
      <w:marRight w:val="0"/>
      <w:marTop w:val="0"/>
      <w:marBottom w:val="0"/>
      <w:divBdr>
        <w:top w:val="none" w:sz="0" w:space="0" w:color="auto"/>
        <w:left w:val="none" w:sz="0" w:space="0" w:color="auto"/>
        <w:bottom w:val="none" w:sz="0" w:space="0" w:color="auto"/>
        <w:right w:val="none" w:sz="0" w:space="0" w:color="auto"/>
      </w:divBdr>
    </w:div>
    <w:div w:id="54305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674</Words>
  <Characters>3708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2019-03-07T16:50:00Z</dcterms:created>
  <dcterms:modified xsi:type="dcterms:W3CDTF">2019-03-07T17:23:00Z</dcterms:modified>
</cp:coreProperties>
</file>